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2E47" w14:textId="77777777" w:rsidR="008248C7" w:rsidRPr="008248C7" w:rsidRDefault="008248C7" w:rsidP="008248C7">
      <w:pPr>
        <w:rPr>
          <w:rFonts w:ascii="HK Grotesk" w:hAnsi="HK Grotesk"/>
          <w:b/>
          <w:bCs/>
          <w:color w:val="00378A"/>
          <w:sz w:val="20"/>
          <w:szCs w:val="20"/>
        </w:rPr>
      </w:pPr>
      <w:r w:rsidRPr="008248C7">
        <w:rPr>
          <w:rFonts w:ascii="HK Grotesk" w:hAnsi="HK Grotesk"/>
          <w:b/>
          <w:bCs/>
          <w:color w:val="00378A"/>
          <w:sz w:val="20"/>
          <w:szCs w:val="20"/>
        </w:rPr>
        <w:t>Preventieve voorwaarden toelating Regeling Gratis VOG</w:t>
      </w:r>
    </w:p>
    <w:p w14:paraId="62CC08C5" w14:textId="77777777" w:rsidR="008248C7" w:rsidRPr="008248C7" w:rsidRDefault="008248C7" w:rsidP="008248C7">
      <w:pPr>
        <w:rPr>
          <w:rFonts w:ascii="HK Grotesk" w:hAnsi="HK Grotesk"/>
          <w:i/>
          <w:iCs/>
          <w:color w:val="00378A"/>
          <w:sz w:val="20"/>
          <w:szCs w:val="20"/>
          <w:u w:val="single"/>
        </w:rPr>
      </w:pPr>
      <w:r w:rsidRPr="008248C7">
        <w:rPr>
          <w:rFonts w:ascii="HK Grotesk" w:hAnsi="HK Grotesk"/>
          <w:i/>
          <w:iCs/>
          <w:color w:val="00378A"/>
          <w:sz w:val="20"/>
          <w:szCs w:val="20"/>
          <w:u w:val="single"/>
        </w:rPr>
        <w:t>Aannamebeleid</w:t>
      </w:r>
    </w:p>
    <w:p w14:paraId="4879697F"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Een pleger van grensoverschrijdend gedrag herken je niet aan het uiterlijk. Vaak zijn het aardige en populaire mensen die zich binnen korte tijd onmisbaar weten te maken. Bekend is dat ze situaties opzoeken waarin ze makkelijk in contact komen met kwetsbaren, zoals minderjarigen en mensen met een verstandelijke beperking. Daarbij maken ze gebruik van het vertrouwen van een organisatie. Een goed aannamebeleid kan ernstige problemen voorkomen. Door het hebben van aannamebeleid zullen mensen met verkeerde bedoelingen eerder afgeschrikt worden om binnen uw sportorganisatie een functie te vervullen. Daarom is het raadzaam om één of meerdere van onderstaande stappen te doorlopen met nieuwe vrijwilligers:</w:t>
      </w:r>
    </w:p>
    <w:p w14:paraId="74D1179B" w14:textId="098844D1" w:rsidR="008248C7" w:rsidRPr="008248C7" w:rsidRDefault="008248C7" w:rsidP="008248C7">
      <w:pPr>
        <w:numPr>
          <w:ilvl w:val="0"/>
          <w:numId w:val="15"/>
        </w:numPr>
        <w:rPr>
          <w:rFonts w:ascii="HK Grotesk" w:hAnsi="HK Grotesk"/>
          <w:color w:val="00378A"/>
          <w:sz w:val="20"/>
          <w:szCs w:val="20"/>
        </w:rPr>
      </w:pPr>
      <w:r w:rsidRPr="008248C7">
        <w:rPr>
          <w:rFonts w:ascii="HK Grotesk" w:hAnsi="HK Grotesk"/>
          <w:color w:val="00378A"/>
          <w:sz w:val="20"/>
          <w:szCs w:val="20"/>
        </w:rPr>
        <w:t>Houd een kennismakingsgesprek</w:t>
      </w:r>
    </w:p>
    <w:p w14:paraId="148399C9" w14:textId="4BC4AC10" w:rsidR="008248C7" w:rsidRPr="008248C7" w:rsidRDefault="008248C7" w:rsidP="008248C7">
      <w:pPr>
        <w:numPr>
          <w:ilvl w:val="0"/>
          <w:numId w:val="15"/>
        </w:numPr>
        <w:rPr>
          <w:rFonts w:ascii="HK Grotesk" w:hAnsi="HK Grotesk"/>
          <w:color w:val="00378A"/>
          <w:sz w:val="20"/>
          <w:szCs w:val="20"/>
        </w:rPr>
      </w:pPr>
      <w:r w:rsidRPr="008248C7">
        <w:rPr>
          <w:rFonts w:ascii="HK Grotesk" w:hAnsi="HK Grotesk"/>
          <w:color w:val="00378A"/>
          <w:sz w:val="20"/>
          <w:szCs w:val="20"/>
        </w:rPr>
        <w:t>Check referenties; bel de club waar de vrijwilliger vandaan komt</w:t>
      </w:r>
    </w:p>
    <w:p w14:paraId="17AF6CE5" w14:textId="5309CD1C" w:rsidR="008248C7" w:rsidRPr="008248C7" w:rsidRDefault="008248C7" w:rsidP="008248C7">
      <w:pPr>
        <w:numPr>
          <w:ilvl w:val="0"/>
          <w:numId w:val="15"/>
        </w:numPr>
        <w:rPr>
          <w:rFonts w:ascii="HK Grotesk" w:hAnsi="HK Grotesk"/>
          <w:color w:val="00378A"/>
          <w:sz w:val="20"/>
          <w:szCs w:val="20"/>
        </w:rPr>
      </w:pPr>
      <w:r w:rsidRPr="008248C7">
        <w:rPr>
          <w:rFonts w:ascii="HK Grotesk" w:hAnsi="HK Grotesk"/>
          <w:color w:val="00378A"/>
          <w:sz w:val="20"/>
          <w:szCs w:val="20"/>
        </w:rPr>
        <w:t>Laat een VOG aanvragen en herhaal dat elke 3 jaar</w:t>
      </w:r>
    </w:p>
    <w:p w14:paraId="3FF13B7F" w14:textId="77777777" w:rsidR="008248C7" w:rsidRPr="008248C7" w:rsidRDefault="008248C7" w:rsidP="008248C7">
      <w:pPr>
        <w:numPr>
          <w:ilvl w:val="0"/>
          <w:numId w:val="15"/>
        </w:numPr>
        <w:rPr>
          <w:rFonts w:ascii="HK Grotesk" w:hAnsi="HK Grotesk"/>
          <w:color w:val="00378A"/>
          <w:sz w:val="20"/>
          <w:szCs w:val="20"/>
        </w:rPr>
      </w:pPr>
      <w:r w:rsidRPr="008248C7">
        <w:rPr>
          <w:rFonts w:ascii="HK Grotesk" w:hAnsi="HK Grotesk"/>
          <w:color w:val="00378A"/>
          <w:sz w:val="20"/>
          <w:szCs w:val="20"/>
        </w:rPr>
        <w:t>Maak de begeleider lid van de bond en als dat niet kan, laat de begeleider een VOT (Verklaring onderwerping Tuchtrecht) tekenen. Daarmee valt begeleider onder het tuchtrecht van de bond en is hij daarvan op de hoogte.</w:t>
      </w:r>
    </w:p>
    <w:p w14:paraId="24845AB8" w14:textId="77777777" w:rsidR="008248C7" w:rsidRPr="008248C7" w:rsidRDefault="008248C7" w:rsidP="008248C7">
      <w:pPr>
        <w:numPr>
          <w:ilvl w:val="0"/>
          <w:numId w:val="15"/>
        </w:numPr>
        <w:rPr>
          <w:rFonts w:ascii="HK Grotesk" w:hAnsi="HK Grotesk"/>
          <w:color w:val="00378A"/>
          <w:sz w:val="20"/>
          <w:szCs w:val="20"/>
        </w:rPr>
      </w:pPr>
      <w:r w:rsidRPr="008248C7">
        <w:rPr>
          <w:rFonts w:ascii="HK Grotesk" w:hAnsi="HK Grotesk"/>
          <w:color w:val="00378A"/>
          <w:sz w:val="20"/>
          <w:szCs w:val="20"/>
        </w:rPr>
        <w:t>Maak de begeleider bekend met de gedragsregels</w:t>
      </w:r>
    </w:p>
    <w:p w14:paraId="049907AF" w14:textId="77777777" w:rsidR="008248C7" w:rsidRPr="008248C7" w:rsidRDefault="008248C7" w:rsidP="008248C7">
      <w:pPr>
        <w:rPr>
          <w:rFonts w:ascii="HK Grotesk" w:hAnsi="HK Grotesk"/>
          <w:color w:val="00378A"/>
          <w:sz w:val="20"/>
          <w:szCs w:val="20"/>
        </w:rPr>
      </w:pPr>
    </w:p>
    <w:p w14:paraId="7DC878F2" w14:textId="77777777" w:rsidR="008248C7" w:rsidRPr="008248C7" w:rsidRDefault="008248C7" w:rsidP="008248C7">
      <w:pPr>
        <w:rPr>
          <w:rFonts w:ascii="HK Grotesk" w:hAnsi="HK Grotesk"/>
          <w:i/>
          <w:iCs/>
          <w:color w:val="00378A"/>
          <w:sz w:val="20"/>
          <w:szCs w:val="20"/>
          <w:u w:val="single"/>
        </w:rPr>
      </w:pPr>
      <w:r w:rsidRPr="008248C7">
        <w:rPr>
          <w:rFonts w:ascii="HK Grotesk" w:hAnsi="HK Grotesk"/>
          <w:i/>
          <w:iCs/>
          <w:color w:val="00378A"/>
          <w:sz w:val="20"/>
          <w:szCs w:val="20"/>
          <w:u w:val="single"/>
        </w:rPr>
        <w:t>Gedragsregels</w:t>
      </w:r>
    </w:p>
    <w:p w14:paraId="0ED4DAD9"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 xml:space="preserve">Omgangsregels kunnen gezien worden als algemene uitgangspunten voor gedrag. In de sport is de relatie tussen de trainer en de sporter erg belangrijk. Daarom heeft de georganiseerde sport gedragsregels vastgesteld. Deze gedragsregels zijn gericht op trainers/ coaches/ begeleiders/ kaderleden (verder in de tekst begeleider genoemd) en maken deel uit van het Tuchtreglement van de sportbond. De gedragsregels geven aan waar de grenzen liggen in het contact tussen begeleider en sporter. </w:t>
      </w:r>
    </w:p>
    <w:p w14:paraId="16DC5EEC"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Deze gedragsregels zijn opgesteld voor begeleiders in de sport aangezien uit cijfers blijkt dat plegers veelal begeleiders zijn en slachtoffers veelal sporter.</w:t>
      </w:r>
    </w:p>
    <w:p w14:paraId="1F323E08"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Het bekendmaken van de ‘Gedragsregels begeleiders in de sport’ laat zien dat een sportvereniging werk maakt van het tegengaan van seksuele intimidatie/grensoverschrijdend gedrag en dat kan preventief werken. Daarbij is het belangrijk dat iedereen die betrokken is bij de sportvereniging op de hoogte is van deze gedragsregels. Het is dus belangrijk om als bestuur dit te delen met je leden en van begeleiders ( en andere vrijwilligers) te vragen deze te onderschrijven. Dat kan door ze lid te laten worden van de vereniging en daarmee de bond. Ook kun je ze vragen om een vrijwillige onderwerping aan het tuchtrecht te laten tekenen (V.O.T.).</w:t>
      </w:r>
    </w:p>
    <w:p w14:paraId="65827885"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 xml:space="preserve">De gedragsregels vormen - aangevuld met de omgangsregels - een richtlijn voor de omgang tussen sporters en begeleiders. </w:t>
      </w:r>
    </w:p>
    <w:p w14:paraId="59566852"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lastRenderedPageBreak/>
        <w:t xml:space="preserve">Deze gedragsregels zijn anders dan omgangsregels afdwingbaar. Als een of meerdere gedragsregels overtreden wordt dan kan een tuchtprocedure met tuchtrechtelijke sancties volgen vanuit de sportbond. </w:t>
      </w:r>
    </w:p>
    <w:p w14:paraId="3976AA5D"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Hieronder vind je een overzicht van de ‘Gedragsregels begeleiders in de sport’ zoals vastgesteld binnen de georganiseerde sport:</w:t>
      </w:r>
    </w:p>
    <w:p w14:paraId="1872827C"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1. De begeleider moet zorgen voor een omgeving en een sfeer waarbinnen de sporter zich veilig kan voelen.</w:t>
      </w:r>
    </w:p>
    <w:p w14:paraId="7C049A92"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 xml:space="preserve">2. De begeleider onthoudt zich ervan de sporter te bejegenen op een wijze die de sporter in zijn waardigheid aantast, én verder in het </w:t>
      </w:r>
      <w:proofErr w:type="spellStart"/>
      <w:r w:rsidRPr="008248C7">
        <w:rPr>
          <w:rFonts w:ascii="HK Grotesk" w:hAnsi="HK Grotesk"/>
          <w:color w:val="00378A"/>
          <w:sz w:val="20"/>
          <w:szCs w:val="20"/>
        </w:rPr>
        <w:t>privé-leven</w:t>
      </w:r>
      <w:proofErr w:type="spellEnd"/>
      <w:r w:rsidRPr="008248C7">
        <w:rPr>
          <w:rFonts w:ascii="HK Grotesk" w:hAnsi="HK Grotesk"/>
          <w:color w:val="00378A"/>
          <w:sz w:val="20"/>
          <w:szCs w:val="20"/>
        </w:rPr>
        <w:t xml:space="preserve"> van de sporter door te dringen dan nodig is in het kader van de sportbeoefening. </w:t>
      </w:r>
    </w:p>
    <w:p w14:paraId="57AAD6D6"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3. De begeleider onthoudt zich van elke vorm van (</w:t>
      </w:r>
      <w:proofErr w:type="spellStart"/>
      <w:r w:rsidRPr="008248C7">
        <w:rPr>
          <w:rFonts w:ascii="HK Grotesk" w:hAnsi="HK Grotesk"/>
          <w:color w:val="00378A"/>
          <w:sz w:val="20"/>
          <w:szCs w:val="20"/>
        </w:rPr>
        <w:t>machts</w:t>
      </w:r>
      <w:proofErr w:type="spellEnd"/>
      <w:r w:rsidRPr="008248C7">
        <w:rPr>
          <w:rFonts w:ascii="HK Grotesk" w:hAnsi="HK Grotesk"/>
          <w:color w:val="00378A"/>
          <w:sz w:val="20"/>
          <w:szCs w:val="20"/>
        </w:rPr>
        <w:t>)misbruik of Seksuele Intimidatie tegenover de sporter.</w:t>
      </w:r>
    </w:p>
    <w:p w14:paraId="5000BD10"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4. Seksuele handelingen en seksuele relaties tussen de begeleider en de jeugdige sporter tot zestien jaar zijn onder geen beding geoorloofd en worden beschouwd als seksueel misbruik.</w:t>
      </w:r>
    </w:p>
    <w:p w14:paraId="4761E92D"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5. 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w:t>
      </w:r>
    </w:p>
    <w:p w14:paraId="123B3F70"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6. De begeleider onthoudt zich van (verbale) seksueel getinte intimiteiten via welk communicatiemiddel dan ook.</w:t>
      </w:r>
    </w:p>
    <w:p w14:paraId="05FD683C"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7. De begeleider zal tijdens training(</w:t>
      </w:r>
      <w:proofErr w:type="spellStart"/>
      <w:r w:rsidRPr="008248C7">
        <w:rPr>
          <w:rFonts w:ascii="HK Grotesk" w:hAnsi="HK Grotesk"/>
          <w:color w:val="00378A"/>
          <w:sz w:val="20"/>
          <w:szCs w:val="20"/>
        </w:rPr>
        <w:t>sstages</w:t>
      </w:r>
      <w:proofErr w:type="spellEnd"/>
      <w:r w:rsidRPr="008248C7">
        <w:rPr>
          <w:rFonts w:ascii="HK Grotesk" w:hAnsi="HK Grotesk"/>
          <w:color w:val="00378A"/>
          <w:sz w:val="20"/>
          <w:szCs w:val="20"/>
        </w:rPr>
        <w:t xml:space="preserve">), wedstrijden en reizen gereserveerd en met respect omgaan met de sporter en met de ruimte waarin de sporter zich bevindt, zoals de kleedkamer of de hotelkamer. </w:t>
      </w:r>
    </w:p>
    <w:p w14:paraId="65947047"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8. De begeleider heeft de plicht - voor zover in zijn vermogen ligt - de sporter te beschermen tegen schade en (</w:t>
      </w:r>
      <w:proofErr w:type="spellStart"/>
      <w:r w:rsidRPr="008248C7">
        <w:rPr>
          <w:rFonts w:ascii="HK Grotesk" w:hAnsi="HK Grotesk"/>
          <w:color w:val="00378A"/>
          <w:sz w:val="20"/>
          <w:szCs w:val="20"/>
        </w:rPr>
        <w:t>machts</w:t>
      </w:r>
      <w:proofErr w:type="spellEnd"/>
      <w:r w:rsidRPr="008248C7">
        <w:rPr>
          <w:rFonts w:ascii="HK Grotesk" w:hAnsi="HK Grotesk"/>
          <w:color w:val="00378A"/>
          <w:sz w:val="20"/>
          <w:szCs w:val="20"/>
        </w:rPr>
        <w:t>)misbruik als gevolg van Seksuele Intimidatie. Daar waar bekend of geregeld is wie de belangen van de (jeugdige) sporter behartigt, is de begeleider verplicht met deze personen of instanties samen te werken, opdat zij hun werk goed kunnen uitoefenen.</w:t>
      </w:r>
    </w:p>
    <w:p w14:paraId="0AA453A0"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9. De begeleider zal de sporter geen (</w:t>
      </w:r>
      <w:proofErr w:type="spellStart"/>
      <w:r w:rsidRPr="008248C7">
        <w:rPr>
          <w:rFonts w:ascii="HK Grotesk" w:hAnsi="HK Grotesk"/>
          <w:color w:val="00378A"/>
          <w:sz w:val="20"/>
          <w:szCs w:val="20"/>
        </w:rPr>
        <w:t>im</w:t>
      </w:r>
      <w:proofErr w:type="spellEnd"/>
      <w:r w:rsidRPr="008248C7">
        <w:rPr>
          <w:rFonts w:ascii="HK Grotesk" w:hAnsi="HK Grotesk"/>
          <w:color w:val="00378A"/>
          <w:sz w:val="20"/>
          <w:szCs w:val="20"/>
        </w:rPr>
        <w:t>)materiële vergoedingen geven met de kennelijke bedoeling tegenprestaties te vragen. Ook de begeleider aanvaardt geen financiële beloning of geschenken van de sporter die in onevenredige verhouding tot de gebruikelijke dan wel afgesproken honorering staan.</w:t>
      </w:r>
    </w:p>
    <w:p w14:paraId="5D28CFF4"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10. De begeleider zal er actief op toezien dat deze regels worden nageleefd door iedereen die bij de sporter is betrokken. Indien de begeleider gedrag signaleert dat niet in overeenstemming is met deze gedragsregels zal hij de daartoe noodzakelijke actie(s) ondernemen.</w:t>
      </w:r>
    </w:p>
    <w:p w14:paraId="01BEB1A4"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11. In die gevallen waarin de gedragsregels niet (direct) voorzien, ligt het binnen de verantwoordelijkheid van de begeleider in de geest hiervan te handelen.</w:t>
      </w:r>
    </w:p>
    <w:p w14:paraId="0BB18692" w14:textId="77777777" w:rsidR="008248C7" w:rsidRPr="008248C7" w:rsidRDefault="008248C7" w:rsidP="008248C7">
      <w:pPr>
        <w:rPr>
          <w:rFonts w:ascii="HK Grotesk" w:hAnsi="HK Grotesk"/>
          <w:color w:val="00378A"/>
          <w:sz w:val="20"/>
          <w:szCs w:val="20"/>
        </w:rPr>
      </w:pPr>
    </w:p>
    <w:p w14:paraId="3484460A" w14:textId="77777777" w:rsidR="008248C7" w:rsidRPr="008248C7" w:rsidRDefault="008248C7" w:rsidP="008248C7">
      <w:pPr>
        <w:rPr>
          <w:rFonts w:ascii="HK Grotesk" w:hAnsi="HK Grotesk"/>
          <w:i/>
          <w:iCs/>
          <w:color w:val="00378A"/>
          <w:sz w:val="20"/>
          <w:szCs w:val="20"/>
          <w:u w:val="single"/>
        </w:rPr>
      </w:pPr>
    </w:p>
    <w:p w14:paraId="517FC48A" w14:textId="77777777" w:rsidR="008248C7" w:rsidRPr="008248C7" w:rsidRDefault="008248C7" w:rsidP="008248C7">
      <w:pPr>
        <w:rPr>
          <w:rFonts w:ascii="HK Grotesk" w:hAnsi="HK Grotesk"/>
          <w:i/>
          <w:iCs/>
          <w:color w:val="00378A"/>
          <w:sz w:val="20"/>
          <w:szCs w:val="20"/>
          <w:u w:val="single"/>
        </w:rPr>
      </w:pPr>
    </w:p>
    <w:p w14:paraId="5AB28E85" w14:textId="77777777" w:rsidR="008248C7" w:rsidRDefault="008248C7" w:rsidP="008248C7">
      <w:pPr>
        <w:rPr>
          <w:rFonts w:ascii="HK Grotesk" w:hAnsi="HK Grotesk"/>
          <w:i/>
          <w:iCs/>
          <w:color w:val="00378A"/>
          <w:sz w:val="20"/>
          <w:szCs w:val="20"/>
          <w:u w:val="single"/>
        </w:rPr>
      </w:pPr>
    </w:p>
    <w:p w14:paraId="4C794253" w14:textId="3A0E8935" w:rsidR="008248C7" w:rsidRPr="008248C7" w:rsidRDefault="008248C7" w:rsidP="008248C7">
      <w:pPr>
        <w:rPr>
          <w:rFonts w:ascii="HK Grotesk" w:hAnsi="HK Grotesk"/>
          <w:i/>
          <w:iCs/>
          <w:color w:val="00378A"/>
          <w:sz w:val="20"/>
          <w:szCs w:val="20"/>
          <w:u w:val="single"/>
        </w:rPr>
      </w:pPr>
      <w:r w:rsidRPr="008248C7">
        <w:rPr>
          <w:rFonts w:ascii="HK Grotesk" w:hAnsi="HK Grotesk"/>
          <w:i/>
          <w:iCs/>
          <w:color w:val="00378A"/>
          <w:sz w:val="20"/>
          <w:szCs w:val="20"/>
          <w:u w:val="single"/>
        </w:rPr>
        <w:t>Vertrouwenscontactpersoon</w:t>
      </w:r>
    </w:p>
    <w:p w14:paraId="62F25500"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Vertrouwenscontactpersoon (VCP)</w:t>
      </w:r>
    </w:p>
    <w:p w14:paraId="05B3BB98"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 xml:space="preserve">De VCP is het eerste aanspreekpunt binnen de sportorganisatie voor iedereen die te maken heeft met grensoverschrijdend gedrag of daar een vraag over heeft en hier met iemand over wil praten. De VCP is onafhankelijk en is er voor iedereen binnen de organisatie; sporters, ouders, trainers, toeschouwer, bestuurders etc. De VCP kan het thema in de organisatie bespreekbaar maken en preventieve maatregelen opzetten. Laat de VCP bij voorkeur een training volgen (bij ASK/NOC*NSF). </w:t>
      </w:r>
    </w:p>
    <w:p w14:paraId="5B305A7C"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Mensen van uw sportorganisatie (en de VCP) kunnen voor vragen en advies ook terecht bij de vertrouwenscontactpersoon van de (sportbond) of bij het Centrum Veilige Sport Nederland.</w:t>
      </w:r>
    </w:p>
    <w:p w14:paraId="690C1D96" w14:textId="77777777" w:rsidR="008248C7" w:rsidRPr="008248C7" w:rsidRDefault="008248C7" w:rsidP="008248C7">
      <w:pPr>
        <w:rPr>
          <w:rFonts w:ascii="HK Grotesk" w:hAnsi="HK Grotesk"/>
          <w:color w:val="00378A"/>
          <w:sz w:val="20"/>
          <w:szCs w:val="20"/>
        </w:rPr>
      </w:pPr>
      <w:r w:rsidRPr="008248C7">
        <w:rPr>
          <w:rFonts w:ascii="HK Grotesk" w:hAnsi="HK Grotesk"/>
          <w:color w:val="00378A"/>
          <w:sz w:val="20"/>
          <w:szCs w:val="20"/>
        </w:rPr>
        <w:t>Een vertrouwenspersoon moet goed bekend en bereikbaar zijn binnen de organisatie. Vermeld daarom altijd contactgegevens. Deze gegevens kunt u bijvoorbeeld vermelden in uw nieuwsbrief of op uw website.</w:t>
      </w:r>
    </w:p>
    <w:p w14:paraId="37CDAC44" w14:textId="77777777" w:rsidR="00CF281F" w:rsidRPr="008248C7" w:rsidRDefault="00CF281F" w:rsidP="008248C7">
      <w:pPr>
        <w:rPr>
          <w:rFonts w:ascii="HK Grotesk" w:hAnsi="HK Grotesk"/>
          <w:color w:val="00378A"/>
          <w:sz w:val="20"/>
          <w:szCs w:val="20"/>
        </w:rPr>
      </w:pPr>
    </w:p>
    <w:sectPr w:rsidR="00CF281F" w:rsidRPr="008248C7" w:rsidSect="003F1C55">
      <w:headerReference w:type="default" r:id="rId11"/>
      <w:headerReference w:type="first" r:id="rId12"/>
      <w:footerReference w:type="first" r:id="rId13"/>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C4EB" w14:textId="77777777" w:rsidR="008248C7" w:rsidRDefault="008248C7" w:rsidP="00BF370B">
      <w:r>
        <w:separator/>
      </w:r>
    </w:p>
  </w:endnote>
  <w:endnote w:type="continuationSeparator" w:id="0">
    <w:p w14:paraId="7F003244" w14:textId="77777777" w:rsidR="008248C7" w:rsidRDefault="008248C7"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K Grotesk">
    <w:panose1 w:val="00000500000000000000"/>
    <w:charset w:val="00"/>
    <w:family w:val="modern"/>
    <w:notTrueType/>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Light">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5692D8A8" w14:textId="77777777" w:rsidTr="003F1C55">
      <w:tc>
        <w:tcPr>
          <w:tcW w:w="2128" w:type="dxa"/>
          <w:shd w:val="clear" w:color="auto" w:fill="auto"/>
        </w:tcPr>
        <w:sdt>
          <w:sdtPr>
            <w:tag w:val="bezoekadreskop"/>
            <w:id w:val="-2032337608"/>
            <w15:appearance w15:val="hidden"/>
            <w:text/>
          </w:sdtPr>
          <w:sdtEndPr/>
          <w:sdtContent>
            <w:p w14:paraId="32D31D4F"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68182FA5"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02E8C5E1"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36FC02A9" w14:textId="77777777" w:rsidR="003F1C55" w:rsidRPr="00B3379D" w:rsidRDefault="003F1C55" w:rsidP="00B3379D">
              <w:pPr>
                <w:pStyle w:val="Footerkopje"/>
              </w:pPr>
              <w:r w:rsidRPr="00B3379D">
                <w:t>Email</w:t>
              </w:r>
            </w:p>
          </w:sdtContent>
        </w:sdt>
      </w:tc>
      <w:tc>
        <w:tcPr>
          <w:tcW w:w="1078" w:type="dxa"/>
          <w:shd w:val="clear" w:color="auto" w:fill="auto"/>
        </w:tcPr>
        <w:p w14:paraId="7CFED087" w14:textId="77777777" w:rsidR="003F1C55" w:rsidRPr="00B3379D" w:rsidRDefault="003F1C55" w:rsidP="00B3379D">
          <w:pPr>
            <w:pStyle w:val="Footerkopje"/>
          </w:pPr>
          <w:r w:rsidRPr="00B3379D">
            <w:t>Web</w:t>
          </w:r>
        </w:p>
      </w:tc>
    </w:tr>
    <w:tr w:rsidR="003F1C55" w:rsidRPr="008A058A" w14:paraId="5155F2EF" w14:textId="77777777" w:rsidTr="003F1C55">
      <w:tc>
        <w:tcPr>
          <w:tcW w:w="2128" w:type="dxa"/>
          <w:shd w:val="clear" w:color="auto" w:fill="auto"/>
        </w:tcPr>
        <w:sdt>
          <w:sdtPr>
            <w:tag w:val="bezoekadrestekst"/>
            <w:id w:val="-2140713015"/>
            <w15:appearance w15:val="hidden"/>
          </w:sdtPr>
          <w:sdtEndPr/>
          <w:sdtContent>
            <w:p w14:paraId="5A8E8A8F"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29666E83"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59AA53E8" w14:textId="77777777" w:rsidR="003F1C55" w:rsidRPr="008A058A" w:rsidRDefault="008248C7"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7661CD96" w14:textId="77777777" w:rsidR="003F1C55" w:rsidRPr="008A058A" w:rsidRDefault="008248C7"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2118D952" w14:textId="77777777" w:rsidR="003F1C55" w:rsidRPr="008A058A" w:rsidRDefault="008248C7" w:rsidP="00B3379D">
          <w:pPr>
            <w:pStyle w:val="Voettekst"/>
          </w:pPr>
          <w:sdt>
            <w:sdtPr>
              <w:tag w:val="website"/>
              <w:id w:val="-890778"/>
              <w15:appearance w15:val="hidden"/>
              <w:text/>
            </w:sdtPr>
            <w:sdtEndPr/>
            <w:sdtContent>
              <w:r w:rsidR="003F1C55" w:rsidRPr="008A058A">
                <w:t>nocnsf.nl</w:t>
              </w:r>
            </w:sdtContent>
          </w:sdt>
        </w:p>
      </w:tc>
    </w:tr>
    <w:tr w:rsidR="003F1C55" w:rsidRPr="008A058A" w14:paraId="236D2119" w14:textId="77777777" w:rsidTr="003F1C55">
      <w:tc>
        <w:tcPr>
          <w:tcW w:w="8777" w:type="dxa"/>
          <w:gridSpan w:val="5"/>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77"/>
          </w:tblGrid>
          <w:tr w:rsidR="00D75AB2" w14:paraId="131B3099" w14:textId="77777777" w:rsidTr="00EC37EE">
            <w:tc>
              <w:tcPr>
                <w:tcW w:w="8777" w:type="dxa"/>
                <w:hideMark/>
              </w:tcPr>
              <w:p w14:paraId="695593FD" w14:textId="77777777" w:rsidR="00D75AB2" w:rsidRDefault="00D75AB2" w:rsidP="00D75AB2">
                <w:pPr>
                  <w:pStyle w:val="Sponsors"/>
                  <w:spacing w:line="280" w:lineRule="atLeast"/>
                </w:pPr>
                <w:r>
                  <w:t xml:space="preserve">Partners: Nederlandse Loterij </w:t>
                </w:r>
                <w:r>
                  <w:sym w:font="Wingdings" w:char="F09F"/>
                </w:r>
                <w:r>
                  <w:t xml:space="preserve"> T-Mobile </w:t>
                </w:r>
                <w:r>
                  <w:sym w:font="Wingdings" w:char="F09F"/>
                </w:r>
                <w:r>
                  <w:t xml:space="preserve"> AD </w:t>
                </w:r>
                <w:r>
                  <w:sym w:font="Wingdings" w:char="F09F"/>
                </w:r>
                <w:r>
                  <w:t xml:space="preserve"> H2 </w:t>
                </w:r>
                <w:r>
                  <w:sym w:font="Wingdings" w:char="F09F"/>
                </w:r>
                <w:r>
                  <w:t xml:space="preserve"> Rabobank</w:t>
                </w:r>
              </w:p>
            </w:tc>
          </w:tr>
        </w:tbl>
        <w:p w14:paraId="15240F56" w14:textId="77777777" w:rsidR="003F1C55" w:rsidRPr="00B3379D" w:rsidRDefault="003F1C55" w:rsidP="00B3379D">
          <w:pPr>
            <w:pStyle w:val="Sponsors"/>
          </w:pPr>
        </w:p>
      </w:tc>
    </w:tr>
  </w:tbl>
  <w:p w14:paraId="2C9B812B"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7262" w14:textId="77777777" w:rsidR="008248C7" w:rsidRDefault="008248C7" w:rsidP="00BF370B">
      <w:r>
        <w:separator/>
      </w:r>
    </w:p>
  </w:footnote>
  <w:footnote w:type="continuationSeparator" w:id="0">
    <w:p w14:paraId="5BD08A6C" w14:textId="77777777" w:rsidR="008248C7" w:rsidRDefault="008248C7"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324E" w14:textId="77777777" w:rsidR="00892E94" w:rsidRDefault="00892E94" w:rsidP="00892E94">
    <w:pPr>
      <w:pStyle w:val="Koptekst"/>
      <w:spacing w:after="1320"/>
    </w:pPr>
    <w:r>
      <w:rPr>
        <w:noProof/>
      </w:rPr>
      <w:drawing>
        <wp:anchor distT="0" distB="0" distL="114300" distR="114300" simplePos="0" relativeHeight="251666432" behindDoc="1" locked="0" layoutInCell="1" allowOverlap="1" wp14:anchorId="5248C10B" wp14:editId="4C229F28">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4E16" w14:textId="77777777" w:rsidR="003F1C55" w:rsidRDefault="003F1C55" w:rsidP="008A2686">
    <w:pPr>
      <w:pStyle w:val="Koptekst"/>
      <w:spacing w:after="1320"/>
    </w:pPr>
    <w:r>
      <w:rPr>
        <w:noProof/>
      </w:rPr>
      <w:drawing>
        <wp:anchor distT="0" distB="0" distL="114300" distR="114300" simplePos="0" relativeHeight="251664384" behindDoc="1" locked="0" layoutInCell="1" allowOverlap="1" wp14:anchorId="6740AB67" wp14:editId="36FC8182">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pt;height:10.2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75B6"/>
    <w:multiLevelType w:val="hybridMultilevel"/>
    <w:tmpl w:val="29E494BE"/>
    <w:lvl w:ilvl="0" w:tplc="FA9CD3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631250">
    <w:abstractNumId w:val="9"/>
  </w:num>
  <w:num w:numId="2" w16cid:durableId="374355316">
    <w:abstractNumId w:val="7"/>
  </w:num>
  <w:num w:numId="3" w16cid:durableId="286281882">
    <w:abstractNumId w:val="6"/>
  </w:num>
  <w:num w:numId="4" w16cid:durableId="716390999">
    <w:abstractNumId w:val="5"/>
  </w:num>
  <w:num w:numId="5" w16cid:durableId="16350902">
    <w:abstractNumId w:val="4"/>
  </w:num>
  <w:num w:numId="6" w16cid:durableId="1785922119">
    <w:abstractNumId w:val="8"/>
  </w:num>
  <w:num w:numId="7" w16cid:durableId="1274433991">
    <w:abstractNumId w:val="3"/>
  </w:num>
  <w:num w:numId="8" w16cid:durableId="293485798">
    <w:abstractNumId w:val="2"/>
  </w:num>
  <w:num w:numId="9" w16cid:durableId="1112476619">
    <w:abstractNumId w:val="1"/>
  </w:num>
  <w:num w:numId="10" w16cid:durableId="268582240">
    <w:abstractNumId w:val="0"/>
  </w:num>
  <w:num w:numId="11" w16cid:durableId="2092702726">
    <w:abstractNumId w:val="12"/>
  </w:num>
  <w:num w:numId="12" w16cid:durableId="777721152">
    <w:abstractNumId w:val="13"/>
  </w:num>
  <w:num w:numId="13" w16cid:durableId="2143232747">
    <w:abstractNumId w:val="11"/>
  </w:num>
  <w:num w:numId="14" w16cid:durableId="16162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421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C7"/>
    <w:rsid w:val="000521D1"/>
    <w:rsid w:val="000708F0"/>
    <w:rsid w:val="00077C98"/>
    <w:rsid w:val="000801EE"/>
    <w:rsid w:val="00096D99"/>
    <w:rsid w:val="000B07DB"/>
    <w:rsid w:val="000B0DE9"/>
    <w:rsid w:val="000F5E9F"/>
    <w:rsid w:val="00145343"/>
    <w:rsid w:val="0015066D"/>
    <w:rsid w:val="00157357"/>
    <w:rsid w:val="001A319C"/>
    <w:rsid w:val="001C16EE"/>
    <w:rsid w:val="001F1F2B"/>
    <w:rsid w:val="001F309C"/>
    <w:rsid w:val="002766A3"/>
    <w:rsid w:val="002A1769"/>
    <w:rsid w:val="002D6D24"/>
    <w:rsid w:val="00345F3B"/>
    <w:rsid w:val="003659BC"/>
    <w:rsid w:val="00381612"/>
    <w:rsid w:val="00393A8E"/>
    <w:rsid w:val="00394CFA"/>
    <w:rsid w:val="003F1C55"/>
    <w:rsid w:val="00424387"/>
    <w:rsid w:val="00433006"/>
    <w:rsid w:val="004530C7"/>
    <w:rsid w:val="004661EE"/>
    <w:rsid w:val="004C2570"/>
    <w:rsid w:val="004C3381"/>
    <w:rsid w:val="004E207D"/>
    <w:rsid w:val="005526F5"/>
    <w:rsid w:val="00591ED3"/>
    <w:rsid w:val="005B7E90"/>
    <w:rsid w:val="005D57CD"/>
    <w:rsid w:val="00601222"/>
    <w:rsid w:val="006142BE"/>
    <w:rsid w:val="00627F62"/>
    <w:rsid w:val="006375F5"/>
    <w:rsid w:val="006A4876"/>
    <w:rsid w:val="006B180F"/>
    <w:rsid w:val="007070AE"/>
    <w:rsid w:val="007226DA"/>
    <w:rsid w:val="00731667"/>
    <w:rsid w:val="00771DFA"/>
    <w:rsid w:val="00797EF2"/>
    <w:rsid w:val="008248C7"/>
    <w:rsid w:val="00892E94"/>
    <w:rsid w:val="008960F7"/>
    <w:rsid w:val="008A058A"/>
    <w:rsid w:val="008A2686"/>
    <w:rsid w:val="00914D93"/>
    <w:rsid w:val="00965C55"/>
    <w:rsid w:val="009751C1"/>
    <w:rsid w:val="009A4180"/>
    <w:rsid w:val="00AB57D4"/>
    <w:rsid w:val="00AE73AB"/>
    <w:rsid w:val="00B271AF"/>
    <w:rsid w:val="00B3379D"/>
    <w:rsid w:val="00B3397E"/>
    <w:rsid w:val="00BB3A15"/>
    <w:rsid w:val="00BE008A"/>
    <w:rsid w:val="00BF370B"/>
    <w:rsid w:val="00C02FBD"/>
    <w:rsid w:val="00C66970"/>
    <w:rsid w:val="00C71ED6"/>
    <w:rsid w:val="00C869D1"/>
    <w:rsid w:val="00CD0BA8"/>
    <w:rsid w:val="00CF281F"/>
    <w:rsid w:val="00CF3289"/>
    <w:rsid w:val="00D75AB2"/>
    <w:rsid w:val="00E36154"/>
    <w:rsid w:val="00E47BE4"/>
    <w:rsid w:val="00EA08D8"/>
    <w:rsid w:val="00EC58B8"/>
    <w:rsid w:val="00ED1790"/>
    <w:rsid w:val="00F17F3D"/>
    <w:rsid w:val="00F27910"/>
    <w:rsid w:val="00F90D63"/>
    <w:rsid w:val="00F92F27"/>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EA87DA"/>
  <w14:defaultImageDpi w14:val="330"/>
  <w15:chartTrackingRefBased/>
  <w15:docId w15:val="{B38CC349-C4DD-403B-8736-6229364A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8C7"/>
    <w:pPr>
      <w:spacing w:after="160" w:line="259" w:lineRule="auto"/>
    </w:pPr>
    <w:rPr>
      <w:color w:val="auto"/>
      <w:sz w:val="22"/>
      <w:szCs w:val="22"/>
    </w:rPr>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BEFBFB0A22A4C8F465E99317B0500" ma:contentTypeVersion="13" ma:contentTypeDescription="Een nieuw document maken." ma:contentTypeScope="" ma:versionID="ce63a73e89cee249ac8a362cc2ed98d5">
  <xsd:schema xmlns:xsd="http://www.w3.org/2001/XMLSchema" xmlns:xs="http://www.w3.org/2001/XMLSchema" xmlns:p="http://schemas.microsoft.com/office/2006/metadata/properties" xmlns:ns2="823d3054-c0ac-4e53-9d48-eeb4ed7c9a6c" xmlns:ns3="870f87cc-a354-4980-9594-fbd16a3201a6" targetNamespace="http://schemas.microsoft.com/office/2006/metadata/properties" ma:root="true" ma:fieldsID="2c1e41a922e9968075a11a73c8f6620a" ns2:_="" ns3:_="">
    <xsd:import namespace="823d3054-c0ac-4e53-9d48-eeb4ed7c9a6c"/>
    <xsd:import namespace="870f87cc-a354-4980-9594-fbd16a3201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3054-c0ac-4e53-9d48-eeb4ed7c9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0f87cc-a354-4980-9594-fbd16a3201a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4c9bbfc-4a0b-4801-8ec2-aa63c9f56a52}" ma:internalName="TaxCatchAll" ma:showField="CatchAllData" ma:web="870f87cc-a354-4980-9594-fbd16a320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d3054-c0ac-4e53-9d48-eeb4ed7c9a6c">
      <Terms xmlns="http://schemas.microsoft.com/office/infopath/2007/PartnerControls"/>
    </lcf76f155ced4ddcb4097134ff3c332f>
    <TaxCatchAll xmlns="870f87cc-a354-4980-9594-fbd16a3201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F908-953C-4A0F-B385-43832FA9D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d3054-c0ac-4e53-9d48-eeb4ed7c9a6c"/>
    <ds:schemaRef ds:uri="870f87cc-a354-4980-9594-fbd16a320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75C3D-084D-42DD-941F-F3E14A43C0AA}">
  <ds:schemaRefs>
    <ds:schemaRef ds:uri="http://schemas.microsoft.com/sharepoint/v3/contenttype/forms"/>
  </ds:schemaRefs>
</ds:datastoreItem>
</file>

<file path=customXml/itemProps3.xml><?xml version="1.0" encoding="utf-8"?>
<ds:datastoreItem xmlns:ds="http://schemas.openxmlformats.org/officeDocument/2006/customXml" ds:itemID="{C21657AC-C59B-4B3F-9A67-273189CE837B}">
  <ds:schemaRefs>
    <ds:schemaRef ds:uri="http://schemas.microsoft.com/office/2006/metadata/properties"/>
    <ds:schemaRef ds:uri="http://schemas.microsoft.com/office/infopath/2007/PartnerControls"/>
    <ds:schemaRef ds:uri="823d3054-c0ac-4e53-9d48-eeb4ed7c9a6c"/>
    <ds:schemaRef ds:uri="870f87cc-a354-4980-9594-fbd16a3201a6"/>
  </ds:schemaRefs>
</ds:datastoreItem>
</file>

<file path=customXml/itemProps4.xml><?xml version="1.0" encoding="utf-8"?>
<ds:datastoreItem xmlns:ds="http://schemas.openxmlformats.org/officeDocument/2006/customXml" ds:itemID="{7A523AC1-465B-9042-ACF9-D37C10F3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Template>
  <TotalTime>6</TotalTime>
  <Pages>3</Pages>
  <Words>955</Words>
  <Characters>5254</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Ieneke Romeyn</dc:creator>
  <cp:keywords/>
  <dc:description/>
  <cp:lastModifiedBy>Ieneke Romeyn</cp:lastModifiedBy>
  <cp:revision>1</cp:revision>
  <dcterms:created xsi:type="dcterms:W3CDTF">2023-04-24T12:37:00Z</dcterms:created>
  <dcterms:modified xsi:type="dcterms:W3CDTF">2023-04-24T12:43:00Z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04-02-2020</vt:lpwstr>
  </property>
  <property fmtid="{D5CDD505-2E9C-101B-9397-08002B2CF9AE}" pid="3" name="ContentTypeId">
    <vt:lpwstr>0x010100D6CBEFBFB0A22A4C8F465E99317B0500</vt:lpwstr>
  </property>
  <property fmtid="{D5CDD505-2E9C-101B-9397-08002B2CF9AE}" pid="4" name="Order">
    <vt:r8>8300</vt:r8>
  </property>
</Properties>
</file>